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1D" w:rsidRDefault="00176A1D" w:rsidP="00176A1D">
      <w:pPr>
        <w:jc w:val="center"/>
        <w:rPr>
          <w:rFonts w:ascii="Times New Roman" w:hAnsi="Times New Roman"/>
        </w:rPr>
      </w:pPr>
      <w:r w:rsidRPr="00F93E13">
        <w:rPr>
          <w:rFonts w:ascii="Times New Roman" w:hAnsi="Times New Roman"/>
        </w:rPr>
        <w:t xml:space="preserve">(Supplementary </w:t>
      </w:r>
      <w:bookmarkStart w:id="0" w:name="_GoBack"/>
      <w:bookmarkEnd w:id="0"/>
      <w:r w:rsidRPr="00F93E13">
        <w:rPr>
          <w:rFonts w:ascii="Times New Roman" w:hAnsi="Times New Roman"/>
        </w:rPr>
        <w:t>table 1)</w:t>
      </w:r>
    </w:p>
    <w:p w:rsidR="00176A1D" w:rsidRPr="00F93E13" w:rsidRDefault="00176A1D" w:rsidP="00176A1D">
      <w:pPr>
        <w:rPr>
          <w:rFonts w:ascii="Times New Roman" w:hAnsi="Times New Roman"/>
        </w:rPr>
      </w:pPr>
      <w:r w:rsidRPr="00F93E13">
        <w:rPr>
          <w:rFonts w:ascii="Times New Roman" w:hAnsi="Times New Roman"/>
        </w:rPr>
        <w:t xml:space="preserve">Distribution of serum MBL level and exacerbation frequency in different "MBL concentration groups"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994"/>
        <w:gridCol w:w="1289"/>
        <w:gridCol w:w="1362"/>
        <w:gridCol w:w="1793"/>
        <w:gridCol w:w="1773"/>
      </w:tblGrid>
      <w:tr w:rsidR="00176A1D" w:rsidRPr="00F106FC" w:rsidTr="00C5506D">
        <w:tc>
          <w:tcPr>
            <w:tcW w:w="700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MBL concentration group*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Genotype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 xml:space="preserve">Infrequent exacerbation, </w:t>
            </w:r>
          </w:p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N (%)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 xml:space="preserve">Frequent exacerbation, </w:t>
            </w:r>
          </w:p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N (%)</w:t>
            </w:r>
          </w:p>
        </w:tc>
        <w:tc>
          <w:tcPr>
            <w:tcW w:w="1091" w:type="pct"/>
            <w:shd w:val="clear" w:color="auto" w:fill="auto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 xml:space="preserve">MBL median value in Infrequent </w:t>
            </w:r>
            <w:proofErr w:type="spellStart"/>
            <w:r w:rsidRPr="00F106FC">
              <w:rPr>
                <w:rFonts w:ascii="Times New Roman" w:hAnsi="Times New Roman"/>
                <w:sz w:val="20"/>
                <w:szCs w:val="20"/>
              </w:rPr>
              <w:t>exacerbators</w:t>
            </w:r>
            <w:proofErr w:type="spellEnd"/>
          </w:p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106FC">
              <w:rPr>
                <w:rFonts w:ascii="Times New Roman" w:hAnsi="Times New Roman"/>
                <w:sz w:val="20"/>
                <w:szCs w:val="20"/>
              </w:rPr>
              <w:t>ng</w:t>
            </w:r>
            <w:proofErr w:type="spellEnd"/>
            <w:proofErr w:type="gramEnd"/>
            <w:r w:rsidRPr="00F106FC">
              <w:rPr>
                <w:rFonts w:ascii="Times New Roman" w:hAnsi="Times New Roman"/>
                <w:sz w:val="20"/>
                <w:szCs w:val="20"/>
              </w:rPr>
              <w:t>/ml; Median (IQR)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 xml:space="preserve">MBL median level in Frequent </w:t>
            </w:r>
            <w:proofErr w:type="spellStart"/>
            <w:r w:rsidRPr="00F106FC">
              <w:rPr>
                <w:rFonts w:ascii="Times New Roman" w:hAnsi="Times New Roman"/>
                <w:sz w:val="20"/>
                <w:szCs w:val="20"/>
              </w:rPr>
              <w:t>exacerbators</w:t>
            </w:r>
            <w:proofErr w:type="spellEnd"/>
          </w:p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106FC">
              <w:rPr>
                <w:rFonts w:ascii="Times New Roman" w:hAnsi="Times New Roman"/>
                <w:sz w:val="20"/>
                <w:szCs w:val="20"/>
              </w:rPr>
              <w:t>ng</w:t>
            </w:r>
            <w:proofErr w:type="spellEnd"/>
            <w:proofErr w:type="gramEnd"/>
            <w:r w:rsidRPr="00F106FC">
              <w:rPr>
                <w:rFonts w:ascii="Times New Roman" w:hAnsi="Times New Roman"/>
                <w:sz w:val="20"/>
                <w:szCs w:val="20"/>
              </w:rPr>
              <w:t>/ml; Median (IQR)</w:t>
            </w:r>
          </w:p>
        </w:tc>
      </w:tr>
      <w:tr w:rsidR="00176A1D" w:rsidRPr="00F106FC" w:rsidTr="00C5506D">
        <w:trPr>
          <w:trHeight w:val="340"/>
        </w:trPr>
        <w:tc>
          <w:tcPr>
            <w:tcW w:w="700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106FC">
              <w:rPr>
                <w:rFonts w:ascii="Times New Roman" w:hAnsi="Times New Roman"/>
                <w:i/>
                <w:iCs/>
                <w:sz w:val="20"/>
                <w:szCs w:val="20"/>
              </w:rPr>
              <w:t>YA/YA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49 (36.3)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59 (41.5)</w:t>
            </w:r>
          </w:p>
        </w:tc>
        <w:tc>
          <w:tcPr>
            <w:tcW w:w="1091" w:type="pct"/>
            <w:shd w:val="clear" w:color="auto" w:fill="auto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610 (130-1736)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607 (85 – 2363)</w:t>
            </w:r>
          </w:p>
        </w:tc>
      </w:tr>
      <w:tr w:rsidR="00176A1D" w:rsidRPr="00F106FC" w:rsidTr="00C5506D">
        <w:trPr>
          <w:trHeight w:val="340"/>
        </w:trPr>
        <w:tc>
          <w:tcPr>
            <w:tcW w:w="700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106FC">
              <w:rPr>
                <w:rFonts w:ascii="Times New Roman" w:hAnsi="Times New Roman"/>
                <w:i/>
                <w:iCs/>
                <w:sz w:val="20"/>
                <w:szCs w:val="20"/>
              </w:rPr>
              <w:t>YA/XA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38 (28.1)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33 (23.2)</w:t>
            </w:r>
          </w:p>
        </w:tc>
        <w:tc>
          <w:tcPr>
            <w:tcW w:w="1091" w:type="pct"/>
            <w:shd w:val="clear" w:color="auto" w:fill="auto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624 (115 – 1875)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637 (117 – 2120)</w:t>
            </w:r>
          </w:p>
        </w:tc>
      </w:tr>
      <w:tr w:rsidR="00176A1D" w:rsidRPr="00F106FC" w:rsidTr="00C5506D">
        <w:trPr>
          <w:trHeight w:val="340"/>
        </w:trPr>
        <w:tc>
          <w:tcPr>
            <w:tcW w:w="700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Subtotal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91" w:type="pct"/>
            <w:shd w:val="clear" w:color="auto" w:fill="auto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A1D" w:rsidRPr="00F106FC" w:rsidTr="00C5506D">
        <w:trPr>
          <w:trHeight w:val="340"/>
        </w:trPr>
        <w:tc>
          <w:tcPr>
            <w:tcW w:w="700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106FC">
              <w:rPr>
                <w:rFonts w:ascii="Times New Roman" w:hAnsi="Times New Roman"/>
                <w:i/>
                <w:iCs/>
                <w:sz w:val="20"/>
                <w:szCs w:val="20"/>
              </w:rPr>
              <w:t>XA/XA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9 (6)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7 (4)</w:t>
            </w:r>
          </w:p>
        </w:tc>
        <w:tc>
          <w:tcPr>
            <w:tcW w:w="1091" w:type="pct"/>
            <w:shd w:val="clear" w:color="auto" w:fill="auto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364 (264 – 1749)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700 (308 – 1304)</w:t>
            </w:r>
          </w:p>
        </w:tc>
      </w:tr>
      <w:tr w:rsidR="00176A1D" w:rsidRPr="00F106FC" w:rsidTr="00C5506D">
        <w:trPr>
          <w:trHeight w:val="340"/>
        </w:trPr>
        <w:tc>
          <w:tcPr>
            <w:tcW w:w="700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106FC">
              <w:rPr>
                <w:rFonts w:ascii="Times New Roman" w:hAnsi="Times New Roman"/>
                <w:i/>
                <w:iCs/>
                <w:sz w:val="20"/>
                <w:szCs w:val="20"/>
              </w:rPr>
              <w:t>YA/YO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27 (20)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28 (19.7)</w:t>
            </w:r>
          </w:p>
        </w:tc>
        <w:tc>
          <w:tcPr>
            <w:tcW w:w="1091" w:type="pct"/>
            <w:shd w:val="clear" w:color="auto" w:fill="auto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611 (94 – 1471)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572 (106 – 2092)</w:t>
            </w:r>
          </w:p>
        </w:tc>
      </w:tr>
      <w:tr w:rsidR="00176A1D" w:rsidRPr="00F106FC" w:rsidTr="00C5506D">
        <w:trPr>
          <w:trHeight w:val="340"/>
        </w:trPr>
        <w:tc>
          <w:tcPr>
            <w:tcW w:w="700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Subtotal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pct"/>
            <w:shd w:val="clear" w:color="auto" w:fill="auto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A1D" w:rsidRPr="00F106FC" w:rsidTr="00C5506D">
        <w:trPr>
          <w:trHeight w:val="340"/>
        </w:trPr>
        <w:tc>
          <w:tcPr>
            <w:tcW w:w="700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106FC">
              <w:rPr>
                <w:rFonts w:ascii="Times New Roman" w:hAnsi="Times New Roman"/>
                <w:i/>
                <w:iCs/>
                <w:sz w:val="20"/>
                <w:szCs w:val="20"/>
              </w:rPr>
              <w:t>XA/YO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10 (7)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8 (5)</w:t>
            </w:r>
          </w:p>
        </w:tc>
        <w:tc>
          <w:tcPr>
            <w:tcW w:w="1091" w:type="pct"/>
            <w:shd w:val="clear" w:color="auto" w:fill="auto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524 (108 – 1458)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573 (101 – 1069)</w:t>
            </w:r>
          </w:p>
        </w:tc>
      </w:tr>
      <w:tr w:rsidR="00176A1D" w:rsidRPr="00F106FC" w:rsidTr="00C5506D">
        <w:trPr>
          <w:trHeight w:val="340"/>
        </w:trPr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106FC">
              <w:rPr>
                <w:rFonts w:ascii="Times New Roman" w:hAnsi="Times New Roman"/>
                <w:i/>
                <w:iCs/>
                <w:sz w:val="20"/>
                <w:szCs w:val="20"/>
              </w:rPr>
              <w:t>YO/YO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2 (1.5)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7 (4.9)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909 (534 – 1283)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824 (231 – 956)</w:t>
            </w:r>
          </w:p>
        </w:tc>
      </w:tr>
      <w:tr w:rsidR="00176A1D" w:rsidRPr="00F106FC" w:rsidTr="00C5506D">
        <w:trPr>
          <w:trHeight w:val="34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Subtotal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1D" w:rsidRPr="00F106FC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A1D" w:rsidRPr="00F106FC" w:rsidTr="00C5506D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A1D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 xml:space="preserve">Both the genotype frequency and the median MBL level were not significantly different in infrequent and frequent </w:t>
            </w:r>
            <w:proofErr w:type="spellStart"/>
            <w:r w:rsidRPr="00F106FC">
              <w:rPr>
                <w:rFonts w:ascii="Times New Roman" w:hAnsi="Times New Roman"/>
                <w:sz w:val="20"/>
                <w:szCs w:val="20"/>
              </w:rPr>
              <w:t>exacerbators</w:t>
            </w:r>
            <w:proofErr w:type="spellEnd"/>
            <w:r w:rsidRPr="00F106FC">
              <w:rPr>
                <w:rFonts w:ascii="Times New Roman" w:hAnsi="Times New Roman"/>
                <w:sz w:val="20"/>
                <w:szCs w:val="20"/>
              </w:rPr>
              <w:t xml:space="preserve"> (p&gt;0.05).</w:t>
            </w:r>
          </w:p>
          <w:p w:rsidR="00176A1D" w:rsidRDefault="00176A1D" w:rsidP="00C55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A1D" w:rsidRDefault="00176A1D" w:rsidP="0017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References</w:t>
            </w:r>
          </w:p>
          <w:p w:rsidR="00176A1D" w:rsidRDefault="00176A1D" w:rsidP="00176A1D">
            <w:pPr>
              <w:pStyle w:val="EndNoteBibliography"/>
              <w:numPr>
                <w:ilvl w:val="0"/>
                <w:numId w:val="1"/>
              </w:numPr>
              <w:spacing w:after="0" w:line="480" w:lineRule="auto"/>
              <w:jc w:val="both"/>
              <w:rPr>
                <w:sz w:val="24"/>
                <w:szCs w:val="24"/>
              </w:rPr>
            </w:pPr>
            <w:r w:rsidRPr="005B6868">
              <w:rPr>
                <w:sz w:val="24"/>
                <w:szCs w:val="24"/>
              </w:rPr>
              <w:t>Olesen HV, Jensenius JC, Steffensen R, Thiel S, Schiotz PO: The mannan-binding lectin pathway and lung disease in cystic fibrosis--disfunction of mannan-binding lectin-associated serine protease 2 (MASP-2) may be a major modifier. Clin Immunol 2006, 121</w:t>
            </w:r>
            <w:r w:rsidRPr="005B6868">
              <w:rPr>
                <w:b/>
                <w:sz w:val="24"/>
                <w:szCs w:val="24"/>
              </w:rPr>
              <w:t>:</w:t>
            </w:r>
            <w:r w:rsidRPr="005B6868">
              <w:rPr>
                <w:sz w:val="24"/>
                <w:szCs w:val="24"/>
              </w:rPr>
              <w:t>324-31.</w:t>
            </w:r>
          </w:p>
          <w:p w:rsidR="00176A1D" w:rsidRPr="00176A1D" w:rsidRDefault="00176A1D" w:rsidP="00176A1D">
            <w:pPr>
              <w:pStyle w:val="EndNoteBibliography"/>
              <w:numPr>
                <w:ilvl w:val="0"/>
                <w:numId w:val="1"/>
              </w:numPr>
              <w:spacing w:after="0" w:line="480" w:lineRule="auto"/>
              <w:jc w:val="both"/>
              <w:rPr>
                <w:sz w:val="24"/>
                <w:szCs w:val="24"/>
              </w:rPr>
            </w:pPr>
            <w:r w:rsidRPr="00176A1D">
              <w:rPr>
                <w:sz w:val="24"/>
                <w:szCs w:val="24"/>
              </w:rPr>
              <w:t>Chalmers JD, McHugh BJ, Doherty C, Smith MP, Govan JR, Kilpatrick DC, et al: Mannose-binding lectin deficiency and disease severity in non-cystic fibrosis bronchiectasis: a prospective study. Lancet Respir Med 2013, 1</w:t>
            </w:r>
            <w:r w:rsidRPr="00176A1D">
              <w:rPr>
                <w:b/>
                <w:sz w:val="24"/>
                <w:szCs w:val="24"/>
              </w:rPr>
              <w:t>:</w:t>
            </w:r>
            <w:r w:rsidRPr="00176A1D">
              <w:rPr>
                <w:sz w:val="24"/>
                <w:szCs w:val="24"/>
              </w:rPr>
              <w:t>224-32.</w:t>
            </w:r>
          </w:p>
          <w:p w:rsidR="00176A1D" w:rsidRPr="005B6868" w:rsidRDefault="00176A1D" w:rsidP="00176A1D">
            <w:pPr>
              <w:pStyle w:val="EndNoteBibliography"/>
              <w:spacing w:after="0" w:line="480" w:lineRule="auto"/>
              <w:ind w:left="720"/>
              <w:jc w:val="both"/>
              <w:rPr>
                <w:sz w:val="24"/>
                <w:szCs w:val="24"/>
              </w:rPr>
            </w:pPr>
          </w:p>
          <w:p w:rsidR="00176A1D" w:rsidRDefault="00176A1D" w:rsidP="0017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A1D" w:rsidRPr="00F106FC" w:rsidRDefault="00176A1D" w:rsidP="0017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76A1D" w:rsidRDefault="00176A1D" w:rsidP="00176A1D">
      <w:pPr>
        <w:pStyle w:val="Caption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6A1271" w:rsidRDefault="006A1271"/>
    <w:sectPr w:rsidR="006A1271" w:rsidSect="002D15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735E"/>
    <w:multiLevelType w:val="hybridMultilevel"/>
    <w:tmpl w:val="1862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1D"/>
    <w:rsid w:val="00176A1D"/>
    <w:rsid w:val="002D159B"/>
    <w:rsid w:val="006A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88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1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76A1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176A1D"/>
    <w:pPr>
      <w:spacing w:line="240" w:lineRule="auto"/>
    </w:pPr>
    <w:rPr>
      <w:rFonts w:ascii="Times New Roman" w:hAnsi="Times New Roman"/>
      <w:noProof/>
      <w:lang w:val="en-US"/>
    </w:rPr>
  </w:style>
  <w:style w:type="character" w:customStyle="1" w:styleId="EndNoteBibliographyChar">
    <w:name w:val="EndNote Bibliography Char"/>
    <w:link w:val="EndNoteBibliography"/>
    <w:rsid w:val="00176A1D"/>
    <w:rPr>
      <w:rFonts w:ascii="Times New Roman" w:eastAsia="Calibri" w:hAnsi="Times New Roman" w:cs="Times New Roman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1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76A1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176A1D"/>
    <w:pPr>
      <w:spacing w:line="240" w:lineRule="auto"/>
    </w:pPr>
    <w:rPr>
      <w:rFonts w:ascii="Times New Roman" w:hAnsi="Times New Roman"/>
      <w:noProof/>
      <w:lang w:val="en-US"/>
    </w:rPr>
  </w:style>
  <w:style w:type="character" w:customStyle="1" w:styleId="EndNoteBibliographyChar">
    <w:name w:val="EndNote Bibliography Char"/>
    <w:link w:val="EndNoteBibliography"/>
    <w:rsid w:val="00176A1D"/>
    <w:rPr>
      <w:rFonts w:ascii="Times New Roman" w:eastAsia="Calibri" w:hAnsi="Times New Roman" w:cs="Times New Roman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Macintosh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Mandal</dc:creator>
  <cp:keywords/>
  <dc:description/>
  <cp:lastModifiedBy>J Mandal</cp:lastModifiedBy>
  <cp:revision>1</cp:revision>
  <dcterms:created xsi:type="dcterms:W3CDTF">2015-12-11T12:05:00Z</dcterms:created>
  <dcterms:modified xsi:type="dcterms:W3CDTF">2015-12-11T12:10:00Z</dcterms:modified>
</cp:coreProperties>
</file>